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A21" w:rsidRDefault="00F62A21" w:rsidP="00DC3698">
      <w:pPr>
        <w:spacing w:line="480" w:lineRule="auto"/>
        <w:jc w:val="center"/>
        <w:rPr>
          <w:rFonts w:ascii="Times New Roman" w:hAnsi="Times New Roman" w:cs="Times New Roman"/>
          <w:sz w:val="24"/>
          <w:szCs w:val="24"/>
        </w:rPr>
      </w:pPr>
      <w:r w:rsidRPr="00660241">
        <w:rPr>
          <w:rFonts w:ascii="Times New Roman" w:hAnsi="Times New Roman" w:cs="Times New Roman"/>
          <w:sz w:val="24"/>
          <w:szCs w:val="24"/>
        </w:rPr>
        <w:t>Historiography Paper</w:t>
      </w:r>
    </w:p>
    <w:p w:rsidR="001517B7" w:rsidRDefault="001517B7" w:rsidP="00DC369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1517B7" w:rsidRDefault="001517B7" w:rsidP="00DC369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517B7" w:rsidRDefault="001517B7" w:rsidP="00DC3698">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2116D6" w:rsidRPr="00660241" w:rsidRDefault="002116D6" w:rsidP="00DC3698">
      <w:pPr>
        <w:spacing w:line="480" w:lineRule="auto"/>
        <w:jc w:val="center"/>
        <w:rPr>
          <w:rFonts w:ascii="Times New Roman" w:hAnsi="Times New Roman" w:cs="Times New Roman"/>
          <w:sz w:val="24"/>
          <w:szCs w:val="24"/>
        </w:rPr>
      </w:pPr>
    </w:p>
    <w:p w:rsidR="00871A41" w:rsidRDefault="00871A41" w:rsidP="00BD0074">
      <w:pPr>
        <w:spacing w:line="480" w:lineRule="auto"/>
        <w:ind w:firstLine="0"/>
        <w:jc w:val="center"/>
        <w:rPr>
          <w:rFonts w:ascii="Times New Roman" w:hAnsi="Times New Roman" w:cs="Times New Roman"/>
          <w:b/>
          <w:sz w:val="24"/>
          <w:szCs w:val="24"/>
        </w:rPr>
      </w:pPr>
    </w:p>
    <w:p w:rsidR="00871A41" w:rsidRDefault="00871A41" w:rsidP="00BD0074">
      <w:pPr>
        <w:spacing w:line="480" w:lineRule="auto"/>
        <w:ind w:firstLine="0"/>
        <w:jc w:val="center"/>
        <w:rPr>
          <w:rFonts w:ascii="Times New Roman" w:hAnsi="Times New Roman" w:cs="Times New Roman"/>
          <w:b/>
          <w:sz w:val="24"/>
          <w:szCs w:val="24"/>
        </w:rPr>
      </w:pPr>
    </w:p>
    <w:p w:rsidR="00871A41" w:rsidRDefault="00871A41" w:rsidP="00BD0074">
      <w:pPr>
        <w:spacing w:line="480" w:lineRule="auto"/>
        <w:ind w:firstLine="0"/>
        <w:jc w:val="center"/>
        <w:rPr>
          <w:rFonts w:ascii="Times New Roman" w:hAnsi="Times New Roman" w:cs="Times New Roman"/>
          <w:b/>
          <w:sz w:val="24"/>
          <w:szCs w:val="24"/>
        </w:rPr>
      </w:pPr>
    </w:p>
    <w:p w:rsidR="00871A41" w:rsidRDefault="00871A41" w:rsidP="00BD0074">
      <w:pPr>
        <w:spacing w:line="480" w:lineRule="auto"/>
        <w:ind w:firstLine="0"/>
        <w:jc w:val="center"/>
        <w:rPr>
          <w:rFonts w:ascii="Times New Roman" w:hAnsi="Times New Roman" w:cs="Times New Roman"/>
          <w:b/>
          <w:sz w:val="24"/>
          <w:szCs w:val="24"/>
        </w:rPr>
      </w:pPr>
    </w:p>
    <w:p w:rsidR="00871A41" w:rsidRDefault="00871A41" w:rsidP="00BD0074">
      <w:pPr>
        <w:spacing w:line="480" w:lineRule="auto"/>
        <w:ind w:firstLine="0"/>
        <w:jc w:val="center"/>
        <w:rPr>
          <w:rFonts w:ascii="Times New Roman" w:hAnsi="Times New Roman" w:cs="Times New Roman"/>
          <w:b/>
          <w:sz w:val="24"/>
          <w:szCs w:val="24"/>
        </w:rPr>
      </w:pPr>
    </w:p>
    <w:p w:rsidR="00871A41" w:rsidRDefault="00871A41" w:rsidP="00BD0074">
      <w:pPr>
        <w:spacing w:line="480" w:lineRule="auto"/>
        <w:ind w:firstLine="0"/>
        <w:jc w:val="center"/>
        <w:rPr>
          <w:rFonts w:ascii="Times New Roman" w:hAnsi="Times New Roman" w:cs="Times New Roman"/>
          <w:b/>
          <w:sz w:val="24"/>
          <w:szCs w:val="24"/>
        </w:rPr>
      </w:pPr>
    </w:p>
    <w:p w:rsidR="00871A41" w:rsidRDefault="00871A41" w:rsidP="00BD0074">
      <w:pPr>
        <w:spacing w:line="480" w:lineRule="auto"/>
        <w:ind w:firstLine="0"/>
        <w:jc w:val="center"/>
        <w:rPr>
          <w:rFonts w:ascii="Times New Roman" w:hAnsi="Times New Roman" w:cs="Times New Roman"/>
          <w:b/>
          <w:sz w:val="24"/>
          <w:szCs w:val="24"/>
        </w:rPr>
      </w:pPr>
    </w:p>
    <w:p w:rsidR="00871A41" w:rsidRDefault="00871A41" w:rsidP="00BD0074">
      <w:pPr>
        <w:spacing w:line="480" w:lineRule="auto"/>
        <w:ind w:firstLine="0"/>
        <w:jc w:val="center"/>
        <w:rPr>
          <w:rFonts w:ascii="Times New Roman" w:hAnsi="Times New Roman" w:cs="Times New Roman"/>
          <w:b/>
          <w:sz w:val="24"/>
          <w:szCs w:val="24"/>
        </w:rPr>
      </w:pPr>
    </w:p>
    <w:p w:rsidR="00871A41" w:rsidRDefault="00871A41" w:rsidP="00BD0074">
      <w:pPr>
        <w:spacing w:line="480" w:lineRule="auto"/>
        <w:ind w:firstLine="0"/>
        <w:jc w:val="center"/>
        <w:rPr>
          <w:rFonts w:ascii="Times New Roman" w:hAnsi="Times New Roman" w:cs="Times New Roman"/>
          <w:b/>
          <w:sz w:val="24"/>
          <w:szCs w:val="24"/>
        </w:rPr>
      </w:pPr>
    </w:p>
    <w:p w:rsidR="00871A41" w:rsidRDefault="00871A41" w:rsidP="00BD0074">
      <w:pPr>
        <w:spacing w:line="480" w:lineRule="auto"/>
        <w:ind w:firstLine="0"/>
        <w:jc w:val="center"/>
        <w:rPr>
          <w:rFonts w:ascii="Times New Roman" w:hAnsi="Times New Roman" w:cs="Times New Roman"/>
          <w:b/>
          <w:sz w:val="24"/>
          <w:szCs w:val="24"/>
        </w:rPr>
      </w:pPr>
    </w:p>
    <w:p w:rsidR="00871A41" w:rsidRDefault="00871A41" w:rsidP="00BD0074">
      <w:pPr>
        <w:spacing w:line="480" w:lineRule="auto"/>
        <w:ind w:firstLine="0"/>
        <w:jc w:val="center"/>
        <w:rPr>
          <w:rFonts w:ascii="Times New Roman" w:hAnsi="Times New Roman" w:cs="Times New Roman"/>
          <w:b/>
          <w:sz w:val="24"/>
          <w:szCs w:val="24"/>
        </w:rPr>
      </w:pPr>
    </w:p>
    <w:p w:rsidR="00871A41" w:rsidRDefault="00871A41" w:rsidP="00BD0074">
      <w:pPr>
        <w:spacing w:line="480" w:lineRule="auto"/>
        <w:ind w:firstLine="0"/>
        <w:jc w:val="center"/>
        <w:rPr>
          <w:rFonts w:ascii="Times New Roman" w:hAnsi="Times New Roman" w:cs="Times New Roman"/>
          <w:b/>
          <w:sz w:val="24"/>
          <w:szCs w:val="24"/>
        </w:rPr>
      </w:pPr>
    </w:p>
    <w:p w:rsidR="001517B7" w:rsidRPr="00BD0074" w:rsidRDefault="008D3582" w:rsidP="00BD0074">
      <w:pPr>
        <w:spacing w:line="480" w:lineRule="auto"/>
        <w:ind w:firstLine="0"/>
        <w:jc w:val="center"/>
        <w:rPr>
          <w:rFonts w:ascii="Times New Roman" w:hAnsi="Times New Roman" w:cs="Times New Roman"/>
          <w:b/>
          <w:sz w:val="24"/>
          <w:szCs w:val="24"/>
        </w:rPr>
      </w:pPr>
      <w:r w:rsidRPr="00BD0074">
        <w:rPr>
          <w:rFonts w:ascii="Times New Roman" w:hAnsi="Times New Roman" w:cs="Times New Roman"/>
          <w:b/>
          <w:sz w:val="24"/>
          <w:szCs w:val="24"/>
        </w:rPr>
        <w:lastRenderedPageBreak/>
        <w:t xml:space="preserve">Factors for the </w:t>
      </w:r>
      <w:r w:rsidR="00BD0074" w:rsidRPr="00BD0074">
        <w:rPr>
          <w:rFonts w:ascii="Times New Roman" w:hAnsi="Times New Roman" w:cs="Times New Roman"/>
          <w:b/>
          <w:sz w:val="24"/>
          <w:szCs w:val="24"/>
        </w:rPr>
        <w:t>fall</w:t>
      </w:r>
      <w:r w:rsidRPr="00BD0074">
        <w:rPr>
          <w:rFonts w:ascii="Times New Roman" w:hAnsi="Times New Roman" w:cs="Times New Roman"/>
          <w:b/>
          <w:sz w:val="24"/>
          <w:szCs w:val="24"/>
        </w:rPr>
        <w:t xml:space="preserve"> of Mali Empire</w:t>
      </w:r>
    </w:p>
    <w:p w:rsidR="00F62A21" w:rsidRPr="00660241" w:rsidRDefault="00F62A21" w:rsidP="00660241">
      <w:pPr>
        <w:spacing w:line="480" w:lineRule="auto"/>
        <w:rPr>
          <w:rFonts w:ascii="Times New Roman" w:hAnsi="Times New Roman" w:cs="Times New Roman"/>
          <w:sz w:val="24"/>
          <w:szCs w:val="24"/>
        </w:rPr>
      </w:pPr>
      <w:r w:rsidRPr="00660241">
        <w:rPr>
          <w:rFonts w:ascii="Times New Roman" w:hAnsi="Times New Roman" w:cs="Times New Roman"/>
          <w:sz w:val="24"/>
          <w:szCs w:val="24"/>
        </w:rPr>
        <w:t>The factors that led to the fall of the Mali Empire can be categorized into two levels. The first level of the fall is associated with a crisis or chain of crisis within the political-administrative structure and the socio-economic core zone of the Upper Niger.  The second level can be explained as a particular presentation of systemic trends, ruptures (discontinuities), and long-term regularities (continuities) of the Longue Duree in West Africa. The fall of the Mali Empire can also be associated with social forces and materials and processes of the different globalization phases during th</w:t>
      </w:r>
      <w:bookmarkStart w:id="0" w:name="_GoBack"/>
      <w:bookmarkEnd w:id="0"/>
      <w:r w:rsidRPr="00660241">
        <w:rPr>
          <w:rFonts w:ascii="Times New Roman" w:hAnsi="Times New Roman" w:cs="Times New Roman"/>
          <w:sz w:val="24"/>
          <w:szCs w:val="24"/>
        </w:rPr>
        <w:t>e middle age world economy, for example, political decentralization, demographic displacement, and Islamization through the establishment of maraboutism. These social forces and processes may have been arbitrated by particular historical local institutions within the economic, political, and cultural system of the Mali Empire.</w:t>
      </w:r>
    </w:p>
    <w:p w:rsidR="00F62A21" w:rsidRPr="00660241" w:rsidRDefault="00F62A21" w:rsidP="00660241">
      <w:pPr>
        <w:spacing w:line="480" w:lineRule="auto"/>
        <w:rPr>
          <w:rFonts w:ascii="Times New Roman" w:hAnsi="Times New Roman" w:cs="Times New Roman"/>
          <w:sz w:val="24"/>
          <w:szCs w:val="24"/>
        </w:rPr>
      </w:pPr>
      <w:r w:rsidRPr="00660241">
        <w:rPr>
          <w:rFonts w:ascii="Times New Roman" w:hAnsi="Times New Roman" w:cs="Times New Roman"/>
          <w:sz w:val="24"/>
          <w:szCs w:val="24"/>
        </w:rPr>
        <w:t xml:space="preserve">The dominance of the Middle Niger basin as a regional/sub-regional area and the political dominance of the Sunni dynasty and the Askiya dynasty might have been another factor in the fall of the Empire. Another factor for the fall of the Mali Empire can be associated with diminishing political power and economic bankruptcy due to excessive spending of the Empire, for example, the luxurious spending by Mansa Musa in the building of mosques and royal places. Mismanagement of resources mainly on religious activities also contributed to the fall of the Mali Empire. The emergence of new polities including the Songhai also led to this fall.  The decline in trade due to communal violence and which compromised sources of revenue for the government also contributed to this fall of the Mali Empire. Environmental deterioration caused by variations in weather conditions may have contributed to this fall. The change of trade routes, for example, the trans-Saharan caravan routes led to Mali’s fall. The weakened military power of </w:t>
      </w:r>
      <w:r w:rsidRPr="00660241">
        <w:rPr>
          <w:rFonts w:ascii="Times New Roman" w:hAnsi="Times New Roman" w:cs="Times New Roman"/>
          <w:sz w:val="24"/>
          <w:szCs w:val="24"/>
        </w:rPr>
        <w:lastRenderedPageBreak/>
        <w:t xml:space="preserve">Mali also contributed to her collapse, for example, this led to the capturing of some of the provinces by the Tuareg.  </w:t>
      </w:r>
    </w:p>
    <w:p w:rsidR="00F62A21" w:rsidRPr="00660241" w:rsidRDefault="00F62A21" w:rsidP="00660241">
      <w:pPr>
        <w:spacing w:line="480" w:lineRule="auto"/>
        <w:rPr>
          <w:rFonts w:ascii="Times New Roman" w:hAnsi="Times New Roman" w:cs="Times New Roman"/>
          <w:sz w:val="24"/>
          <w:szCs w:val="24"/>
        </w:rPr>
      </w:pPr>
      <w:r w:rsidRPr="00660241">
        <w:rPr>
          <w:rFonts w:ascii="Times New Roman" w:hAnsi="Times New Roman" w:cs="Times New Roman"/>
          <w:sz w:val="24"/>
          <w:szCs w:val="24"/>
        </w:rPr>
        <w:t>According to Ray Kea, the most important factors that led to the fall of the Mali Empire are factors related to the political-administrative crisis, systemic trends, as well as processes and social forces of the globalization phases which include 3 phases: phase one (conquest and colonization, ca.1230-ca.1290), phase two (consolidation, ca.1290-ca.1400), and phase three (fragmentation and crisis, ca.1400-the 1460s)</w:t>
      </w:r>
      <w:r w:rsidR="00203027" w:rsidRPr="00660241">
        <w:rPr>
          <w:rFonts w:ascii="Times New Roman" w:hAnsi="Times New Roman" w:cs="Times New Roman"/>
          <w:sz w:val="24"/>
          <w:szCs w:val="24"/>
        </w:rPr>
        <w:t xml:space="preserve"> (Kea, 2021)</w:t>
      </w:r>
      <w:r w:rsidRPr="00660241">
        <w:rPr>
          <w:rFonts w:ascii="Times New Roman" w:hAnsi="Times New Roman" w:cs="Times New Roman"/>
          <w:sz w:val="24"/>
          <w:szCs w:val="24"/>
        </w:rPr>
        <w:t>. Ray also discussed economic, political, and cultural systems which he believed would have been the mediators for the processes and social forces of these phases.</w:t>
      </w:r>
    </w:p>
    <w:p w:rsidR="00F62A21" w:rsidRPr="00660241" w:rsidRDefault="00F62A21" w:rsidP="00660241">
      <w:pPr>
        <w:spacing w:line="480" w:lineRule="auto"/>
        <w:rPr>
          <w:rFonts w:ascii="Times New Roman" w:hAnsi="Times New Roman" w:cs="Times New Roman"/>
          <w:sz w:val="24"/>
          <w:szCs w:val="24"/>
        </w:rPr>
      </w:pPr>
      <w:r w:rsidRPr="00660241">
        <w:rPr>
          <w:rFonts w:ascii="Times New Roman" w:hAnsi="Times New Roman" w:cs="Times New Roman"/>
          <w:sz w:val="24"/>
          <w:szCs w:val="24"/>
        </w:rPr>
        <w:t>Babalola stated the important factors contributing to Mali’s fall to be diminishing political power, economic bankruptcy, and restructured the social organization. Babalola also suggested that the major problems that affected the Empire were extravagant spending and mismanagement of resources. According to Babalola religious activities such as the adoption of Islam, religion contributed to extravagant spending. He further adds that these religious activities especially the Islam religion had impacts on the economy, politics, and society of the Mali Empire. Babalola also argued that the economic bankruptcy led to political issues which weakened the military. He also factored on disruption of trade which was a result of “neighborly disrespect” which led to Tuareg attacking and taking over the most important and productive cities</w:t>
      </w:r>
      <w:r w:rsidR="0013635A" w:rsidRPr="00660241">
        <w:rPr>
          <w:rFonts w:ascii="Times New Roman" w:hAnsi="Times New Roman" w:cs="Times New Roman"/>
          <w:color w:val="222222"/>
          <w:sz w:val="24"/>
          <w:szCs w:val="24"/>
          <w:shd w:val="clear" w:color="auto" w:fill="FFFFFF"/>
        </w:rPr>
        <w:t xml:space="preserve"> (Babalola, 2021)</w:t>
      </w:r>
      <w:r w:rsidRPr="00660241">
        <w:rPr>
          <w:rFonts w:ascii="Times New Roman" w:hAnsi="Times New Roman" w:cs="Times New Roman"/>
          <w:sz w:val="24"/>
          <w:szCs w:val="24"/>
        </w:rPr>
        <w:t>. Babalola also stated severed diplomatic relations between Mali with Egypt, Morocco, and Syria as another factor for the fall of the empire.</w:t>
      </w:r>
    </w:p>
    <w:p w:rsidR="00DE751C" w:rsidRPr="00660241" w:rsidRDefault="00F62A21" w:rsidP="00660241">
      <w:pPr>
        <w:spacing w:line="480" w:lineRule="auto"/>
        <w:rPr>
          <w:rFonts w:ascii="Times New Roman" w:hAnsi="Times New Roman" w:cs="Times New Roman"/>
          <w:sz w:val="24"/>
          <w:szCs w:val="24"/>
        </w:rPr>
      </w:pPr>
      <w:r w:rsidRPr="00660241">
        <w:rPr>
          <w:rFonts w:ascii="Times New Roman" w:hAnsi="Times New Roman" w:cs="Times New Roman"/>
          <w:sz w:val="24"/>
          <w:szCs w:val="24"/>
        </w:rPr>
        <w:t xml:space="preserve">Richard Hull provided that multifaceted factors contributed to the fall of the Mali Empire. According to Hull, these multifaceted factors include political, economic, environmental, </w:t>
      </w:r>
      <w:r w:rsidRPr="00660241">
        <w:rPr>
          <w:rFonts w:ascii="Times New Roman" w:hAnsi="Times New Roman" w:cs="Times New Roman"/>
          <w:sz w:val="24"/>
          <w:szCs w:val="24"/>
        </w:rPr>
        <w:lastRenderedPageBreak/>
        <w:t>religious, and secession. He gives political factors such as leadership rivalry between family members developed and affected the Empire. Economic factors provided by Hull included excessive spending and change of trade routes. Hull stated that environmental factors such as climate change and cotton cultivation led to environmental deterioration. According to Hull, the Keity dynasty was purely Muslim but most of the people lived in rural areas and followed non-Islamic beliefs and legal customs which led to the identity problem of the Empire. Hull explains secession to have occurred as a result of Mali losing control over its important trans-Saharan caravan routes</w:t>
      </w:r>
      <w:r w:rsidR="00810152" w:rsidRPr="00660241">
        <w:rPr>
          <w:rFonts w:ascii="Times New Roman" w:hAnsi="Times New Roman" w:cs="Times New Roman"/>
          <w:sz w:val="24"/>
          <w:szCs w:val="24"/>
        </w:rPr>
        <w:t xml:space="preserve"> (Hull, 2021)</w:t>
      </w:r>
      <w:r w:rsidRPr="00660241">
        <w:rPr>
          <w:rFonts w:ascii="Times New Roman" w:hAnsi="Times New Roman" w:cs="Times New Roman"/>
          <w:sz w:val="24"/>
          <w:szCs w:val="24"/>
        </w:rPr>
        <w:t>.</w:t>
      </w:r>
    </w:p>
    <w:p w:rsidR="00271DA5" w:rsidRDefault="00271DA5" w:rsidP="00660241">
      <w:pPr>
        <w:spacing w:line="480" w:lineRule="auto"/>
        <w:rPr>
          <w:rFonts w:ascii="Times New Roman" w:hAnsi="Times New Roman" w:cs="Times New Roman"/>
          <w:sz w:val="24"/>
          <w:szCs w:val="24"/>
        </w:rPr>
      </w:pPr>
    </w:p>
    <w:p w:rsidR="00271DA5" w:rsidRDefault="00271DA5" w:rsidP="00660241">
      <w:pPr>
        <w:spacing w:line="480" w:lineRule="auto"/>
        <w:rPr>
          <w:rFonts w:ascii="Times New Roman" w:hAnsi="Times New Roman" w:cs="Times New Roman"/>
          <w:sz w:val="24"/>
          <w:szCs w:val="24"/>
        </w:rPr>
      </w:pPr>
    </w:p>
    <w:p w:rsidR="00271DA5" w:rsidRDefault="00271DA5" w:rsidP="00660241">
      <w:pPr>
        <w:spacing w:line="480" w:lineRule="auto"/>
        <w:rPr>
          <w:rFonts w:ascii="Times New Roman" w:hAnsi="Times New Roman" w:cs="Times New Roman"/>
          <w:sz w:val="24"/>
          <w:szCs w:val="24"/>
        </w:rPr>
      </w:pPr>
    </w:p>
    <w:p w:rsidR="00271DA5" w:rsidRDefault="00271DA5" w:rsidP="00660241">
      <w:pPr>
        <w:spacing w:line="480" w:lineRule="auto"/>
        <w:rPr>
          <w:rFonts w:ascii="Times New Roman" w:hAnsi="Times New Roman" w:cs="Times New Roman"/>
          <w:sz w:val="24"/>
          <w:szCs w:val="24"/>
        </w:rPr>
      </w:pPr>
    </w:p>
    <w:p w:rsidR="00271DA5" w:rsidRDefault="00271DA5" w:rsidP="00660241">
      <w:pPr>
        <w:spacing w:line="480" w:lineRule="auto"/>
        <w:rPr>
          <w:rFonts w:ascii="Times New Roman" w:hAnsi="Times New Roman" w:cs="Times New Roman"/>
          <w:sz w:val="24"/>
          <w:szCs w:val="24"/>
        </w:rPr>
      </w:pPr>
    </w:p>
    <w:p w:rsidR="00271DA5" w:rsidRDefault="00271DA5" w:rsidP="00660241">
      <w:pPr>
        <w:spacing w:line="480" w:lineRule="auto"/>
        <w:rPr>
          <w:rFonts w:ascii="Times New Roman" w:hAnsi="Times New Roman" w:cs="Times New Roman"/>
          <w:sz w:val="24"/>
          <w:szCs w:val="24"/>
        </w:rPr>
      </w:pPr>
    </w:p>
    <w:p w:rsidR="00271DA5" w:rsidRDefault="00271DA5" w:rsidP="00660241">
      <w:pPr>
        <w:spacing w:line="480" w:lineRule="auto"/>
        <w:rPr>
          <w:rFonts w:ascii="Times New Roman" w:hAnsi="Times New Roman" w:cs="Times New Roman"/>
          <w:sz w:val="24"/>
          <w:szCs w:val="24"/>
        </w:rPr>
      </w:pPr>
    </w:p>
    <w:p w:rsidR="00271DA5" w:rsidRDefault="00271DA5" w:rsidP="00660241">
      <w:pPr>
        <w:spacing w:line="480" w:lineRule="auto"/>
        <w:rPr>
          <w:rFonts w:ascii="Times New Roman" w:hAnsi="Times New Roman" w:cs="Times New Roman"/>
          <w:sz w:val="24"/>
          <w:szCs w:val="24"/>
        </w:rPr>
      </w:pPr>
    </w:p>
    <w:p w:rsidR="00620D56" w:rsidRPr="00271DA5" w:rsidRDefault="00620D56" w:rsidP="00271DA5">
      <w:pPr>
        <w:spacing w:line="480" w:lineRule="auto"/>
        <w:jc w:val="center"/>
        <w:rPr>
          <w:rFonts w:ascii="Times New Roman" w:hAnsi="Times New Roman" w:cs="Times New Roman"/>
          <w:b/>
          <w:sz w:val="24"/>
          <w:szCs w:val="24"/>
        </w:rPr>
      </w:pPr>
      <w:r w:rsidRPr="00271DA5">
        <w:rPr>
          <w:rFonts w:ascii="Times New Roman" w:hAnsi="Times New Roman" w:cs="Times New Roman"/>
          <w:b/>
          <w:sz w:val="24"/>
          <w:szCs w:val="24"/>
        </w:rPr>
        <w:t>References</w:t>
      </w:r>
    </w:p>
    <w:p w:rsidR="00620D56" w:rsidRPr="00660241" w:rsidRDefault="00ED7576" w:rsidP="00660241">
      <w:pPr>
        <w:spacing w:line="480" w:lineRule="auto"/>
        <w:ind w:left="720" w:hanging="720"/>
        <w:rPr>
          <w:rFonts w:ascii="Times New Roman" w:hAnsi="Times New Roman" w:cs="Times New Roman"/>
          <w:sz w:val="24"/>
          <w:szCs w:val="24"/>
        </w:rPr>
      </w:pPr>
      <w:r w:rsidRPr="00660241">
        <w:rPr>
          <w:rFonts w:ascii="Times New Roman" w:hAnsi="Times New Roman" w:cs="Times New Roman"/>
          <w:sz w:val="24"/>
          <w:szCs w:val="24"/>
        </w:rPr>
        <w:t>Kea, Ray A. "The Fall of the Mali Empire." The American Mosaic: The African American Experience, ABC-CLIO,2021, africanamerican2.abc-clio.com/Topics/Display/2044009?sid=2044011&amp;cid=91. Accessed 25 Sept. 2021.</w:t>
      </w:r>
    </w:p>
    <w:p w:rsidR="00ED7576" w:rsidRPr="00660241" w:rsidRDefault="00665FF2" w:rsidP="00660241">
      <w:pPr>
        <w:spacing w:line="480" w:lineRule="auto"/>
        <w:ind w:left="720" w:hanging="720"/>
        <w:rPr>
          <w:rFonts w:ascii="Times New Roman" w:hAnsi="Times New Roman" w:cs="Times New Roman"/>
          <w:color w:val="222222"/>
          <w:sz w:val="24"/>
          <w:szCs w:val="24"/>
          <w:shd w:val="clear" w:color="auto" w:fill="FFFFFF"/>
        </w:rPr>
      </w:pPr>
      <w:r w:rsidRPr="00660241">
        <w:rPr>
          <w:rFonts w:ascii="Times New Roman" w:hAnsi="Times New Roman" w:cs="Times New Roman"/>
          <w:color w:val="222222"/>
          <w:sz w:val="24"/>
          <w:szCs w:val="24"/>
          <w:shd w:val="clear" w:color="auto" w:fill="FFFFFF"/>
        </w:rPr>
        <w:lastRenderedPageBreak/>
        <w:t>Babalola, Abidemi Babatunde. "Creativity, Improvisation, Resilience, and Glassmaking in Early Ile-Ife." </w:t>
      </w:r>
      <w:r w:rsidRPr="00660241">
        <w:rPr>
          <w:rFonts w:ascii="Times New Roman" w:hAnsi="Times New Roman" w:cs="Times New Roman"/>
          <w:i/>
          <w:iCs/>
          <w:color w:val="222222"/>
          <w:sz w:val="24"/>
          <w:szCs w:val="24"/>
          <w:shd w:val="clear" w:color="auto" w:fill="FFFFFF"/>
        </w:rPr>
        <w:t>International Journal of African Historical Studies</w:t>
      </w:r>
      <w:r w:rsidRPr="00660241">
        <w:rPr>
          <w:rFonts w:ascii="Times New Roman" w:hAnsi="Times New Roman" w:cs="Times New Roman"/>
          <w:color w:val="222222"/>
          <w:sz w:val="24"/>
          <w:szCs w:val="24"/>
          <w:shd w:val="clear" w:color="auto" w:fill="FFFFFF"/>
        </w:rPr>
        <w:t> 54.1 (2021).</w:t>
      </w:r>
    </w:p>
    <w:p w:rsidR="00665FF2" w:rsidRPr="00660241" w:rsidRDefault="00810152" w:rsidP="00660241">
      <w:pPr>
        <w:spacing w:line="480" w:lineRule="auto"/>
        <w:ind w:left="720" w:hanging="720"/>
        <w:rPr>
          <w:rFonts w:ascii="Times New Roman" w:hAnsi="Times New Roman" w:cs="Times New Roman"/>
          <w:sz w:val="24"/>
          <w:szCs w:val="24"/>
        </w:rPr>
      </w:pPr>
      <w:r w:rsidRPr="00660241">
        <w:rPr>
          <w:rFonts w:ascii="Times New Roman" w:hAnsi="Times New Roman" w:cs="Times New Roman"/>
          <w:sz w:val="24"/>
          <w:szCs w:val="24"/>
        </w:rPr>
        <w:t>Hull, Richard W. "The West African Empire of Mali: Decline and Fall." The American Mosaic: The African American Experience, ABC-CLIO, 2021, africanamerican2.abc clio.com/Topics/Display/2044009?sid=2044010&amp;cid=91.Accessed 25 Sept. 2021.</w:t>
      </w:r>
    </w:p>
    <w:sectPr w:rsidR="00665FF2" w:rsidRPr="00660241" w:rsidSect="005741C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7712" w:rsidRDefault="00667712" w:rsidP="00660241">
      <w:pPr>
        <w:spacing w:after="0" w:line="240" w:lineRule="auto"/>
      </w:pPr>
      <w:r>
        <w:separator/>
      </w:r>
    </w:p>
  </w:endnote>
  <w:endnote w:type="continuationSeparator" w:id="0">
    <w:p w:rsidR="00667712" w:rsidRDefault="00667712" w:rsidP="00660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7712" w:rsidRDefault="00667712" w:rsidP="00660241">
      <w:pPr>
        <w:spacing w:after="0" w:line="240" w:lineRule="auto"/>
      </w:pPr>
      <w:r>
        <w:separator/>
      </w:r>
    </w:p>
  </w:footnote>
  <w:footnote w:type="continuationSeparator" w:id="0">
    <w:p w:rsidR="00667712" w:rsidRDefault="00667712" w:rsidP="006602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60862"/>
      <w:docPartObj>
        <w:docPartGallery w:val="Page Numbers (Top of Page)"/>
        <w:docPartUnique/>
      </w:docPartObj>
    </w:sdtPr>
    <w:sdtEndPr/>
    <w:sdtContent>
      <w:p w:rsidR="00660241" w:rsidRDefault="00660241" w:rsidP="00660241">
        <w:pPr>
          <w:pStyle w:val="Header"/>
          <w:ind w:firstLine="0"/>
        </w:pPr>
        <w:r w:rsidRPr="00660241">
          <w:rPr>
            <w:rFonts w:ascii="Times New Roman" w:hAnsi="Times New Roman" w:cs="Times New Roman"/>
            <w:sz w:val="24"/>
            <w:szCs w:val="24"/>
          </w:rPr>
          <w:t>Historiography Paper</w:t>
        </w:r>
        <w:r>
          <w:rPr>
            <w:rFonts w:ascii="Times New Roman" w:hAnsi="Times New Roman" w:cs="Times New Roman"/>
            <w:sz w:val="24"/>
            <w:szCs w:val="24"/>
          </w:rPr>
          <w:t xml:space="preserve">                                                                                                                       </w:t>
        </w:r>
        <w:r w:rsidRPr="00660241">
          <w:rPr>
            <w:rFonts w:ascii="Times New Roman" w:hAnsi="Times New Roman" w:cs="Times New Roman"/>
            <w:sz w:val="24"/>
            <w:szCs w:val="24"/>
          </w:rPr>
          <w:fldChar w:fldCharType="begin"/>
        </w:r>
        <w:r w:rsidRPr="00660241">
          <w:rPr>
            <w:rFonts w:ascii="Times New Roman" w:hAnsi="Times New Roman" w:cs="Times New Roman"/>
            <w:sz w:val="24"/>
            <w:szCs w:val="24"/>
          </w:rPr>
          <w:instrText xml:space="preserve"> PAGE   \* MERGEFORMAT </w:instrText>
        </w:r>
        <w:r w:rsidRPr="00660241">
          <w:rPr>
            <w:rFonts w:ascii="Times New Roman" w:hAnsi="Times New Roman" w:cs="Times New Roman"/>
            <w:sz w:val="24"/>
            <w:szCs w:val="24"/>
          </w:rPr>
          <w:fldChar w:fldCharType="separate"/>
        </w:r>
        <w:r w:rsidR="00871A41">
          <w:rPr>
            <w:rFonts w:ascii="Times New Roman" w:hAnsi="Times New Roman" w:cs="Times New Roman"/>
            <w:noProof/>
            <w:sz w:val="24"/>
            <w:szCs w:val="24"/>
          </w:rPr>
          <w:t>1</w:t>
        </w:r>
        <w:r w:rsidRPr="00660241">
          <w:rPr>
            <w:rFonts w:ascii="Times New Roman" w:hAnsi="Times New Roman" w:cs="Times New Roman"/>
            <w:sz w:val="24"/>
            <w:szCs w:val="24"/>
          </w:rPr>
          <w:fldChar w:fldCharType="end"/>
        </w:r>
      </w:p>
    </w:sdtContent>
  </w:sdt>
  <w:p w:rsidR="00660241" w:rsidRDefault="006602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20CE1"/>
    <w:rsid w:val="00005260"/>
    <w:rsid w:val="00007EA8"/>
    <w:rsid w:val="0002017C"/>
    <w:rsid w:val="00035246"/>
    <w:rsid w:val="000766B1"/>
    <w:rsid w:val="000C115F"/>
    <w:rsid w:val="000C517E"/>
    <w:rsid w:val="000D0BD7"/>
    <w:rsid w:val="000D6F14"/>
    <w:rsid w:val="000E0D18"/>
    <w:rsid w:val="000E3A09"/>
    <w:rsid w:val="000F0B0B"/>
    <w:rsid w:val="00106AF8"/>
    <w:rsid w:val="00111E50"/>
    <w:rsid w:val="00113F05"/>
    <w:rsid w:val="00117EB8"/>
    <w:rsid w:val="001329AE"/>
    <w:rsid w:val="00132C95"/>
    <w:rsid w:val="0013635A"/>
    <w:rsid w:val="00150543"/>
    <w:rsid w:val="001517B7"/>
    <w:rsid w:val="00167866"/>
    <w:rsid w:val="00172E54"/>
    <w:rsid w:val="00183D4E"/>
    <w:rsid w:val="00193101"/>
    <w:rsid w:val="001935DB"/>
    <w:rsid w:val="001A294F"/>
    <w:rsid w:val="001A297B"/>
    <w:rsid w:val="001B47A1"/>
    <w:rsid w:val="001D60C5"/>
    <w:rsid w:val="001E353C"/>
    <w:rsid w:val="001F7D08"/>
    <w:rsid w:val="00203027"/>
    <w:rsid w:val="00205BC3"/>
    <w:rsid w:val="00206482"/>
    <w:rsid w:val="00207DEB"/>
    <w:rsid w:val="002116D6"/>
    <w:rsid w:val="00223BCE"/>
    <w:rsid w:val="00230386"/>
    <w:rsid w:val="0023538A"/>
    <w:rsid w:val="00235415"/>
    <w:rsid w:val="00236C1D"/>
    <w:rsid w:val="00260F69"/>
    <w:rsid w:val="00266759"/>
    <w:rsid w:val="00271DA5"/>
    <w:rsid w:val="00292849"/>
    <w:rsid w:val="00292BA9"/>
    <w:rsid w:val="002A264D"/>
    <w:rsid w:val="002A7C60"/>
    <w:rsid w:val="002D1325"/>
    <w:rsid w:val="00330535"/>
    <w:rsid w:val="003410BE"/>
    <w:rsid w:val="003541EB"/>
    <w:rsid w:val="003554B2"/>
    <w:rsid w:val="00387825"/>
    <w:rsid w:val="0039788A"/>
    <w:rsid w:val="003A0EEC"/>
    <w:rsid w:val="003A2CBA"/>
    <w:rsid w:val="003A7510"/>
    <w:rsid w:val="003B3248"/>
    <w:rsid w:val="003C3141"/>
    <w:rsid w:val="003C41DD"/>
    <w:rsid w:val="003F1D28"/>
    <w:rsid w:val="00401B99"/>
    <w:rsid w:val="004076E8"/>
    <w:rsid w:val="00414FA9"/>
    <w:rsid w:val="0042076D"/>
    <w:rsid w:val="00420CE1"/>
    <w:rsid w:val="00433848"/>
    <w:rsid w:val="00433EBF"/>
    <w:rsid w:val="00492B36"/>
    <w:rsid w:val="00495E21"/>
    <w:rsid w:val="004A657E"/>
    <w:rsid w:val="004A709F"/>
    <w:rsid w:val="004B1FFF"/>
    <w:rsid w:val="004D009A"/>
    <w:rsid w:val="004D04B0"/>
    <w:rsid w:val="00501905"/>
    <w:rsid w:val="00533E2E"/>
    <w:rsid w:val="00547A4C"/>
    <w:rsid w:val="005571A9"/>
    <w:rsid w:val="00563035"/>
    <w:rsid w:val="00573A86"/>
    <w:rsid w:val="005741CB"/>
    <w:rsid w:val="00576266"/>
    <w:rsid w:val="00582F06"/>
    <w:rsid w:val="005A6FBB"/>
    <w:rsid w:val="005C316E"/>
    <w:rsid w:val="005C64B0"/>
    <w:rsid w:val="005D178D"/>
    <w:rsid w:val="005D187A"/>
    <w:rsid w:val="005E1757"/>
    <w:rsid w:val="005E2929"/>
    <w:rsid w:val="005E2B8C"/>
    <w:rsid w:val="00606A77"/>
    <w:rsid w:val="006111F9"/>
    <w:rsid w:val="0061246E"/>
    <w:rsid w:val="00620D56"/>
    <w:rsid w:val="00621DAF"/>
    <w:rsid w:val="00624D4B"/>
    <w:rsid w:val="00626038"/>
    <w:rsid w:val="006305E2"/>
    <w:rsid w:val="00635606"/>
    <w:rsid w:val="00657365"/>
    <w:rsid w:val="00660241"/>
    <w:rsid w:val="00665558"/>
    <w:rsid w:val="00665FF2"/>
    <w:rsid w:val="00667712"/>
    <w:rsid w:val="00667A51"/>
    <w:rsid w:val="00671655"/>
    <w:rsid w:val="00676300"/>
    <w:rsid w:val="006F6EB0"/>
    <w:rsid w:val="007013CF"/>
    <w:rsid w:val="00701E23"/>
    <w:rsid w:val="007122E1"/>
    <w:rsid w:val="00714D8F"/>
    <w:rsid w:val="007213F9"/>
    <w:rsid w:val="0072447A"/>
    <w:rsid w:val="0079445C"/>
    <w:rsid w:val="00797DF7"/>
    <w:rsid w:val="007A126D"/>
    <w:rsid w:val="007A7F49"/>
    <w:rsid w:val="007C1033"/>
    <w:rsid w:val="007C2E5F"/>
    <w:rsid w:val="007C4065"/>
    <w:rsid w:val="007D2831"/>
    <w:rsid w:val="007E0B40"/>
    <w:rsid w:val="007E4F06"/>
    <w:rsid w:val="00810152"/>
    <w:rsid w:val="00814C7D"/>
    <w:rsid w:val="00867503"/>
    <w:rsid w:val="00871A41"/>
    <w:rsid w:val="0087450A"/>
    <w:rsid w:val="00882966"/>
    <w:rsid w:val="00884634"/>
    <w:rsid w:val="008A2063"/>
    <w:rsid w:val="008C0F5B"/>
    <w:rsid w:val="008C2CFC"/>
    <w:rsid w:val="008C4458"/>
    <w:rsid w:val="008C6C8D"/>
    <w:rsid w:val="008D3582"/>
    <w:rsid w:val="008F39EC"/>
    <w:rsid w:val="009007EC"/>
    <w:rsid w:val="00907027"/>
    <w:rsid w:val="00916B54"/>
    <w:rsid w:val="009302C6"/>
    <w:rsid w:val="00957568"/>
    <w:rsid w:val="009631DE"/>
    <w:rsid w:val="009A31CD"/>
    <w:rsid w:val="009C237B"/>
    <w:rsid w:val="009D1584"/>
    <w:rsid w:val="009D5512"/>
    <w:rsid w:val="009D76B1"/>
    <w:rsid w:val="009E0837"/>
    <w:rsid w:val="00A01D1B"/>
    <w:rsid w:val="00A216E0"/>
    <w:rsid w:val="00A24ECB"/>
    <w:rsid w:val="00A42E5A"/>
    <w:rsid w:val="00A5171B"/>
    <w:rsid w:val="00A61C1A"/>
    <w:rsid w:val="00A73B9E"/>
    <w:rsid w:val="00A73F39"/>
    <w:rsid w:val="00A97923"/>
    <w:rsid w:val="00AB5C30"/>
    <w:rsid w:val="00AF38AA"/>
    <w:rsid w:val="00B03A12"/>
    <w:rsid w:val="00B12C29"/>
    <w:rsid w:val="00B30AFC"/>
    <w:rsid w:val="00B7117B"/>
    <w:rsid w:val="00B71F88"/>
    <w:rsid w:val="00B84D7B"/>
    <w:rsid w:val="00BA3FBC"/>
    <w:rsid w:val="00BD0074"/>
    <w:rsid w:val="00BE1FAA"/>
    <w:rsid w:val="00BF3FE3"/>
    <w:rsid w:val="00C25651"/>
    <w:rsid w:val="00C25CEC"/>
    <w:rsid w:val="00C2695D"/>
    <w:rsid w:val="00C30934"/>
    <w:rsid w:val="00C327D2"/>
    <w:rsid w:val="00C3325C"/>
    <w:rsid w:val="00C37989"/>
    <w:rsid w:val="00C5010C"/>
    <w:rsid w:val="00C60335"/>
    <w:rsid w:val="00C7156E"/>
    <w:rsid w:val="00C72E09"/>
    <w:rsid w:val="00C73BEB"/>
    <w:rsid w:val="00C855F8"/>
    <w:rsid w:val="00CA2F07"/>
    <w:rsid w:val="00CA782A"/>
    <w:rsid w:val="00CB11E6"/>
    <w:rsid w:val="00CD0CD9"/>
    <w:rsid w:val="00CD6450"/>
    <w:rsid w:val="00CE6466"/>
    <w:rsid w:val="00CE7513"/>
    <w:rsid w:val="00CF78FE"/>
    <w:rsid w:val="00D01A51"/>
    <w:rsid w:val="00D2688D"/>
    <w:rsid w:val="00D46784"/>
    <w:rsid w:val="00D53B7C"/>
    <w:rsid w:val="00D82FB6"/>
    <w:rsid w:val="00D83BBE"/>
    <w:rsid w:val="00DB1C6F"/>
    <w:rsid w:val="00DC3698"/>
    <w:rsid w:val="00DC4DA4"/>
    <w:rsid w:val="00DD287E"/>
    <w:rsid w:val="00DD2D07"/>
    <w:rsid w:val="00DE0A6F"/>
    <w:rsid w:val="00DE751C"/>
    <w:rsid w:val="00E01341"/>
    <w:rsid w:val="00E10716"/>
    <w:rsid w:val="00E3556E"/>
    <w:rsid w:val="00E572D7"/>
    <w:rsid w:val="00E83CA7"/>
    <w:rsid w:val="00EA3170"/>
    <w:rsid w:val="00EB3A9C"/>
    <w:rsid w:val="00ED7576"/>
    <w:rsid w:val="00EF3D5F"/>
    <w:rsid w:val="00F157FA"/>
    <w:rsid w:val="00F3008C"/>
    <w:rsid w:val="00F563CD"/>
    <w:rsid w:val="00F62A21"/>
    <w:rsid w:val="00F65D42"/>
    <w:rsid w:val="00F842F7"/>
    <w:rsid w:val="00F85B37"/>
    <w:rsid w:val="00F9061D"/>
    <w:rsid w:val="00FA7CEE"/>
    <w:rsid w:val="00FD040F"/>
    <w:rsid w:val="00FE0949"/>
    <w:rsid w:val="00FE71AC"/>
    <w:rsid w:val="00FF2F3F"/>
    <w:rsid w:val="00FF3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5422A9-7E69-427C-BECE-F9EC6630A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027"/>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241"/>
  </w:style>
  <w:style w:type="paragraph" w:styleId="Footer">
    <w:name w:val="footer"/>
    <w:basedOn w:val="Normal"/>
    <w:link w:val="FooterChar"/>
    <w:uiPriority w:val="99"/>
    <w:semiHidden/>
    <w:unhideWhenUsed/>
    <w:rsid w:val="006602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0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5</Pages>
  <Words>788</Words>
  <Characters>4498</Characters>
  <Application>Microsoft Office Word</Application>
  <DocSecurity>0</DocSecurity>
  <Lines>37</Lines>
  <Paragraphs>10</Paragraphs>
  <ScaleCrop>false</ScaleCrop>
  <Company/>
  <LinksUpToDate>false</LinksUpToDate>
  <CharactersWithSpaces>5276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HP</cp:lastModifiedBy>
  <cp:revision>231</cp:revision>
  <dcterms:created xsi:type="dcterms:W3CDTF">2021-10-08T14:13:00Z</dcterms:created>
  <dcterms:modified xsi:type="dcterms:W3CDTF">2021-10-09T02:06:00Z</dcterms:modified>
</cp:coreProperties>
</file>